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401</w:t>
      </w:r>
    </w:p>
    <w:p>
      <w:r>
        <w:t>Bundesgericht (BGE), 1991-12-20, FR</w:t>
      </w:r>
    </w:p>
    <w:p>
      <w:r>
        <w:rPr>
          <w:b/>
        </w:rPr>
        <w:t xml:space="preserve">Quelle: </w:t>
      </w:r>
      <w:r>
        <w:t>https://mcp.opencaselaw.ch/entscheid/bge_117 IV 401</w:t>
      </w:r>
    </w:p>
    <w:p>
      <w:r>
        <w:t>FR: ATF 117 IV 401</w:t>
      </w:r>
    </w:p>
    <w:p>
      <w:r>
        <w:t>IT: DTF 117 IV 401</w:t>
      </w:r>
    </w:p>
    <w:p>
      <w:pPr>
        <w:pStyle w:val="Heading2"/>
      </w:pPr>
      <w:r>
        <w:t>Regeste</w:t>
      </w:r>
    </w:p>
    <w:p>
      <w:r>
        <w:t>Regeste Art. 269, 275 Abs. 5 und 277ter BStP; Konnexität der staatsrechtlichen Beschwerde mit der Nichtigkeitsbeschwerde, kassatorische Natur. Die Aufhebung des angefochtenen Entscheids im Verfahren der staatsrechtlichen Beschwerde führt nicht notwendig zur Gegenstandslosigkeit der parallel dazu eingereichten Nichtigkeitsbeschwerde (E. 2). Art. 63 StGB. Strafzumessung; einheitliche Anwendung des Bundesrechts. Sehr harte, im Hinblick auf den äusserst weiten gesetzlichen Strafrahmen ungenügend begründete Strafe (E. 4).</w:t>
      </w:r>
    </w:p>
    <w:p>
      <w:pPr>
        <w:pStyle w:val="Heading2"/>
      </w:pPr>
      <w:r>
        <w:t>Erwägungen</w:t>
      </w:r>
    </w:p>
    <w:p>
      <w:r>
        <w:rPr>
          <w:b/>
        </w:rPr>
        <w:t>E. 2</w:t>
      </w:r>
    </w:p>
    <w:p>
      <w:r>
        <w:t>Le recours de droit public a conduit à l'annulation formelle de l'arrêt attaqué. L'état de fait relatif à deux des trois viols n'a cependant pas été jugé contraire aux droits constitutionnels du condamné; il lie les instances cantonales auxquelles la cause est renvoyée. Dans cette perspective, le recourant conserve un intérêt BGE 117 IV 401 S. 403 juridique digne de protection à ce que ses moyens tirés du droit fédéral soient d'ores et déjà examinés, dans la mesure où ils concernent les deux crimes encore retenus à sa charge, cela malgré l'issue du recours de droit public (voir ATF 104 IV 276 consid. 3).</w:t>
      </w:r>
    </w:p>
    <w:p>
      <w:r>
        <w:rPr>
          <w:b/>
        </w:rPr>
        <w:t>E. 4</w:t>
      </w:r>
    </w:p>
    <w:p>
      <w:r>
        <w:t>b) Dans le domaine de la fixation de la peine, l'autorité cantonale possède un large pouvoir d'appréciation. Celui-ci est cependant limité par le cadre légal de la sanction prévue pour l'infraction en cause et par l'interdiction de l'abus de ce pouvoir d'apprécier la culpabilité selon les critères prévus à l' art. 63 CP . Ainsi, un châtiment prononcé en application de ces critères ne viole le droit fédéral que s'il est exagérément sévère ou clément au point qu'on doive parler d'un excès du pouvoir d'appréciation ( ATF 116 IV 291 consid. b). Afin que le Tribunal fédéral, saisi d'un pourvoi en nullité, soit en mesure de contrôler si la peine a été fixée conformément aux règles précitées, l'autorité cantonale doit énoncer les éléments importants qui ont dicté sa décision. Plus large est la marge d'appréciation, plus détaillée doit être la motivation ( ATF 116 IV 291 consid. c). Cela vaut en particulier lorsque la sanction prononcée s'écarte de celles habituellement fixées dans des cas comparables; le Tribunal fédéral doit veiller à une application uniforme du droit fédéral également dans ce domaine ( ATF 117 IV 117 consid. cc). c) En l'espèce, le cadre légal de la peine était extrêmement large; il se situait de moins d'une année d'une peine privative de liberté (sans parler d'une amende concevable par le jeu de l' art. 66 CP ) à vingt ans de réclusion. La sanction de quinze ans de réclusion prononcée contre le recourant est proche de la limite supérieure de ce cadre. Cela ne correspond pas à la pratique ordinaire. Ce châtiment, comparable à ceux que l'on observe en cas de meurtre, voire d'assassinat, doit être qualifié d'extrêmement sévère. Il apparaît plus rigoureux encore au regard de la responsabilité restreinte, incontestée. Une telle peine ne saurait être prononcée qu'en présence de circonstances aggravantes manifestes et choquantes. d) Les circonstances aggravantes sont apparemment ici la récidive (puisqu'il semble que le condamné ait purgé récemment une peine privative de liberté en France) et le concours d'infractions. Les instances cantonales ne donnent pas de détails à ce sujet, mais la cour d'assises cite, en tête de la motivation de la peine, les art. 67 et 68 CP . En revanche, cette autorité relève la dangerosité du condamné ainsi que le caractère extrêmement grave, lâche et odieux de ses actes, son attitude négative, voire agressive, durant BGE 117 IV 401 S. 404 l'instruction et notamment ses dénégations, sans toutefois préciser les raisons de ces appréciations. En fonction de ces éléments, la première instance parvient à la conclusion "qu'une peine très sévère s'impose et que même après avoir tenu compte de la responsabilité restreinte de l'intéressé dans le cadre de l' art. 63 CP , il apparaît que la peine requise par le Ministère public est justifiée". Faute de mention des arguments présentés alors par le Ministère public et vu le caractère de simple affirmation de la nécessité d'une peine sévère, le Tribunal fédéral n'est pas en mesure de vérifier ici la conformité de la quotité de la peine avec les principes du droit fédéral ( ATF 116 IV 300 ). Les critères énumérés dans l'arrêt attaqué ne suffisent en effet pas pour justifier une peine aussi sévère, compte tenu surtout de la marge d'appréciation extrêmement large laissée au juge. Ainsi, la décision attaquée doit être annulée en application de l' art. 277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